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tblInd w:w="270" w:type="dxa"/>
        <w:tblLook w:val="04A0" w:firstRow="1" w:lastRow="0" w:firstColumn="1" w:lastColumn="0" w:noHBand="0" w:noVBand="1"/>
      </w:tblPr>
      <w:tblGrid>
        <w:gridCol w:w="3150"/>
        <w:gridCol w:w="4230"/>
        <w:gridCol w:w="3690"/>
      </w:tblGrid>
      <w:tr w:rsidR="00FC39E3" w:rsidRPr="00D465E1" w:rsidTr="00E3057E">
        <w:trPr>
          <w:trHeight w:val="3060"/>
        </w:trPr>
        <w:tc>
          <w:tcPr>
            <w:tcW w:w="3150" w:type="dxa"/>
            <w:shd w:val="clear" w:color="auto" w:fill="auto"/>
          </w:tcPr>
          <w:p w:rsidR="00FC39E3" w:rsidRPr="00FC39E3" w:rsidRDefault="00FC39E3" w:rsidP="00580DB0">
            <w:pPr>
              <w:rPr>
                <w:rFonts w:ascii="Garamond" w:eastAsia="Calibri" w:hAnsi="Garamond"/>
                <w:b/>
                <w:sz w:val="20"/>
                <w:szCs w:val="20"/>
              </w:rPr>
            </w:pPr>
            <w:r w:rsidRPr="00FC39E3">
              <w:rPr>
                <w:rFonts w:ascii="Garamond" w:eastAsia="Calibri" w:hAnsi="Garamond"/>
                <w:b/>
                <w:sz w:val="20"/>
                <w:szCs w:val="20"/>
              </w:rPr>
              <w:t>Ellen S. Golden</w:t>
            </w:r>
          </w:p>
          <w:p w:rsidR="00FC39E3" w:rsidRPr="00FC39E3" w:rsidRDefault="00FC39E3" w:rsidP="00580DB0">
            <w:pPr>
              <w:ind w:right="-18"/>
              <w:rPr>
                <w:rFonts w:ascii="Garamond" w:eastAsia="Calibri" w:hAnsi="Garamond"/>
                <w:sz w:val="20"/>
                <w:szCs w:val="20"/>
              </w:rPr>
            </w:pPr>
            <w:r w:rsidRPr="00FC39E3">
              <w:rPr>
                <w:rFonts w:ascii="Garamond" w:eastAsia="Calibri" w:hAnsi="Garamond"/>
                <w:sz w:val="20"/>
                <w:szCs w:val="20"/>
              </w:rPr>
              <w:t xml:space="preserve">Judge, State Court </w:t>
            </w:r>
          </w:p>
          <w:p w:rsidR="00FC39E3" w:rsidRPr="00FC39E3" w:rsidRDefault="00FC39E3" w:rsidP="00580DB0">
            <w:pPr>
              <w:pStyle w:val="Heading5"/>
              <w:rPr>
                <w:rFonts w:ascii="Garamond" w:eastAsia="Calibri" w:hAnsi="Garamond"/>
                <w:sz w:val="20"/>
                <w:szCs w:val="20"/>
              </w:rPr>
            </w:pPr>
          </w:p>
          <w:p w:rsidR="00FC39E3" w:rsidRPr="00FC39E3" w:rsidRDefault="00FC39E3" w:rsidP="00580DB0">
            <w:pPr>
              <w:pStyle w:val="Heading3"/>
              <w:rPr>
                <w:rFonts w:ascii="Garamond" w:eastAsia="Calibri" w:hAnsi="Garamond"/>
                <w:b/>
                <w:color w:val="auto"/>
                <w:sz w:val="20"/>
                <w:szCs w:val="20"/>
              </w:rPr>
            </w:pPr>
            <w:r w:rsidRPr="00FC39E3">
              <w:rPr>
                <w:rFonts w:ascii="Garamond" w:eastAsia="Calibri" w:hAnsi="Garamond"/>
                <w:b/>
                <w:color w:val="auto"/>
                <w:sz w:val="20"/>
                <w:szCs w:val="20"/>
              </w:rPr>
              <w:t>Stacey Bass</w:t>
            </w:r>
          </w:p>
          <w:p w:rsidR="00FC39E3" w:rsidRPr="00FC39E3" w:rsidRDefault="00FC39E3" w:rsidP="00580DB0">
            <w:pPr>
              <w:rPr>
                <w:rFonts w:ascii="Garamond" w:eastAsia="Calibri" w:hAnsi="Garamond"/>
                <w:sz w:val="20"/>
                <w:szCs w:val="20"/>
              </w:rPr>
            </w:pPr>
            <w:r w:rsidRPr="00FC39E3">
              <w:rPr>
                <w:rFonts w:ascii="Garamond" w:eastAsia="Calibri" w:hAnsi="Garamond"/>
                <w:sz w:val="20"/>
                <w:szCs w:val="20"/>
              </w:rPr>
              <w:t>DUI Court Coordinator</w:t>
            </w:r>
          </w:p>
          <w:p w:rsidR="00FC39E3" w:rsidRPr="00FC39E3" w:rsidRDefault="00FC39E3" w:rsidP="00580DB0">
            <w:pPr>
              <w:rPr>
                <w:rFonts w:ascii="Garamond" w:eastAsia="Calibri" w:hAnsi="Garamond"/>
                <w:sz w:val="20"/>
                <w:szCs w:val="20"/>
              </w:rPr>
            </w:pPr>
            <w:r w:rsidRPr="00FC39E3">
              <w:rPr>
                <w:rFonts w:ascii="Garamond" w:eastAsia="Calibri" w:hAnsi="Garamond"/>
                <w:sz w:val="20"/>
                <w:szCs w:val="20"/>
              </w:rPr>
              <w:t>sbass@lowndescounty.com</w:t>
            </w:r>
          </w:p>
          <w:p w:rsidR="00FC39E3" w:rsidRPr="00D465E1" w:rsidRDefault="00FC39E3" w:rsidP="00580DB0">
            <w:pPr>
              <w:rPr>
                <w:rFonts w:ascii="Calibri" w:eastAsia="Calibri" w:hAnsi="Calibri"/>
                <w:sz w:val="22"/>
              </w:rPr>
            </w:pPr>
          </w:p>
        </w:tc>
        <w:tc>
          <w:tcPr>
            <w:tcW w:w="4230" w:type="dxa"/>
            <w:shd w:val="clear" w:color="auto" w:fill="auto"/>
          </w:tcPr>
          <w:p w:rsidR="00FC39E3" w:rsidRPr="00FC39E3" w:rsidRDefault="00FC39E3" w:rsidP="002058F9">
            <w:pPr>
              <w:jc w:val="center"/>
              <w:rPr>
                <w:rFonts w:ascii="Garamond" w:eastAsia="Calibri" w:hAnsi="Garamond"/>
                <w:b/>
                <w:sz w:val="28"/>
                <w:szCs w:val="28"/>
              </w:rPr>
            </w:pPr>
            <w:r>
              <w:rPr>
                <w:rFonts w:ascii="Garamond" w:eastAsia="Calibri" w:hAnsi="Garamond"/>
                <w:b/>
                <w:sz w:val="28"/>
                <w:szCs w:val="28"/>
              </w:rPr>
              <w:t>STATE OF GEORGIA</w:t>
            </w:r>
          </w:p>
          <w:p w:rsidR="00FC39E3" w:rsidRDefault="00DB01D6" w:rsidP="00FC39E3">
            <w:pPr>
              <w:rPr>
                <w:rFonts w:ascii="Garamond" w:eastAsia="Calibri" w:hAnsi="Garamond"/>
                <w:b/>
                <w:sz w:val="28"/>
              </w:rPr>
            </w:pPr>
            <w:r>
              <w:rPr>
                <w:rFonts w:ascii="Garamond" w:eastAsia="Calibri" w:hAnsi="Garamond"/>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8.1pt;margin-top:1.85pt;width:70.85pt;height:64.85pt;z-index:251659264;mso-position-horizontal-relative:text;mso-position-vertical-relative:text;mso-width-relative:page;mso-height-relative:page" fillcolor="window">
                  <v:imagedata r:id="rId8" o:title="" croptop="-288f" cropbottom="-288f" cropleft="-286f" cropright="-286f"/>
                </v:shape>
                <o:OLEObject Type="Embed" ProgID="Word.Picture.8" ShapeID="_x0000_s1026" DrawAspect="Content" ObjectID="_1624177694" r:id="rId9"/>
              </w:object>
            </w:r>
          </w:p>
          <w:p w:rsidR="00FC39E3" w:rsidRDefault="00FC39E3" w:rsidP="00FC39E3">
            <w:pPr>
              <w:rPr>
                <w:rFonts w:ascii="Garamond" w:eastAsia="Calibri" w:hAnsi="Garamond"/>
                <w:b/>
                <w:sz w:val="28"/>
              </w:rPr>
            </w:pPr>
          </w:p>
          <w:p w:rsidR="00FC39E3" w:rsidRDefault="00FC39E3" w:rsidP="00FC39E3">
            <w:pPr>
              <w:rPr>
                <w:rFonts w:ascii="Garamond" w:eastAsia="Calibri" w:hAnsi="Garamond"/>
                <w:b/>
                <w:sz w:val="28"/>
              </w:rPr>
            </w:pPr>
          </w:p>
          <w:p w:rsidR="00FC39E3" w:rsidRDefault="00FC39E3" w:rsidP="00FC39E3">
            <w:pPr>
              <w:rPr>
                <w:rFonts w:ascii="Garamond" w:eastAsia="Calibri" w:hAnsi="Garamond"/>
                <w:b/>
                <w:sz w:val="28"/>
              </w:rPr>
            </w:pPr>
          </w:p>
          <w:p w:rsidR="00FC39E3" w:rsidRPr="00FC39E3" w:rsidRDefault="00FC39E3" w:rsidP="00FC39E3">
            <w:pPr>
              <w:jc w:val="center"/>
              <w:rPr>
                <w:rFonts w:ascii="Garamond" w:eastAsia="Calibri" w:hAnsi="Garamond"/>
                <w:b/>
                <w:sz w:val="22"/>
              </w:rPr>
            </w:pPr>
            <w:r w:rsidRPr="00D465E1">
              <w:rPr>
                <w:rFonts w:ascii="Garamond" w:eastAsia="Calibri" w:hAnsi="Garamond"/>
                <w:b/>
                <w:sz w:val="28"/>
              </w:rPr>
              <w:t>Lowndes Count</w:t>
            </w:r>
            <w:r>
              <w:rPr>
                <w:rFonts w:ascii="Garamond" w:eastAsia="Calibri" w:hAnsi="Garamond"/>
                <w:b/>
                <w:sz w:val="28"/>
              </w:rPr>
              <w:t xml:space="preserve">y DUI </w:t>
            </w:r>
            <w:r w:rsidRPr="0081581D">
              <w:rPr>
                <w:rFonts w:ascii="Garamond" w:eastAsia="Calibri" w:hAnsi="Garamond"/>
                <w:b/>
                <w:sz w:val="28"/>
              </w:rPr>
              <w:t>Court</w:t>
            </w:r>
          </w:p>
          <w:p w:rsidR="00FC39E3" w:rsidRPr="00FC39E3" w:rsidRDefault="00FC39E3" w:rsidP="00FC39E3">
            <w:pPr>
              <w:pStyle w:val="Heading4"/>
              <w:jc w:val="center"/>
              <w:rPr>
                <w:rFonts w:ascii="Garamond" w:eastAsia="Calibri" w:hAnsi="Garamond"/>
                <w:b/>
                <w:i w:val="0"/>
                <w:color w:val="auto"/>
                <w:sz w:val="20"/>
                <w:szCs w:val="20"/>
              </w:rPr>
            </w:pPr>
            <w:r w:rsidRPr="00FC39E3">
              <w:rPr>
                <w:rFonts w:ascii="Garamond" w:eastAsia="Calibri" w:hAnsi="Garamond"/>
                <w:b/>
                <w:i w:val="0"/>
                <w:color w:val="auto"/>
                <w:sz w:val="20"/>
                <w:szCs w:val="20"/>
              </w:rPr>
              <w:t>327 North Ashley Street</w:t>
            </w:r>
          </w:p>
          <w:p w:rsidR="00FC39E3" w:rsidRPr="00FC39E3" w:rsidRDefault="00FC39E3" w:rsidP="00FC39E3">
            <w:pPr>
              <w:jc w:val="center"/>
              <w:rPr>
                <w:rFonts w:ascii="Garamond" w:eastAsia="Calibri" w:hAnsi="Garamond"/>
                <w:b/>
                <w:color w:val="auto"/>
                <w:sz w:val="20"/>
                <w:szCs w:val="20"/>
              </w:rPr>
            </w:pPr>
            <w:r w:rsidRPr="00FC39E3">
              <w:rPr>
                <w:rFonts w:ascii="Garamond" w:eastAsia="Calibri" w:hAnsi="Garamond"/>
                <w:b/>
                <w:color w:val="auto"/>
                <w:sz w:val="20"/>
                <w:szCs w:val="20"/>
              </w:rPr>
              <w:t>Valdosta, GA 31601</w:t>
            </w:r>
          </w:p>
          <w:p w:rsidR="00FC39E3" w:rsidRPr="00591023" w:rsidRDefault="00FC39E3" w:rsidP="00591023">
            <w:pPr>
              <w:jc w:val="center"/>
              <w:rPr>
                <w:rFonts w:ascii="Garamond" w:eastAsia="Calibri" w:hAnsi="Garamond"/>
                <w:b/>
                <w:color w:val="auto"/>
                <w:sz w:val="20"/>
                <w:szCs w:val="20"/>
              </w:rPr>
            </w:pPr>
            <w:r w:rsidRPr="00FC39E3">
              <w:rPr>
                <w:rFonts w:ascii="Garamond" w:eastAsia="Calibri" w:hAnsi="Garamond"/>
                <w:b/>
                <w:color w:val="auto"/>
                <w:sz w:val="20"/>
                <w:szCs w:val="20"/>
              </w:rPr>
              <w:t>Phone: 229-671-2895     Fax: 229-671-3441</w:t>
            </w:r>
          </w:p>
        </w:tc>
        <w:tc>
          <w:tcPr>
            <w:tcW w:w="3690" w:type="dxa"/>
            <w:shd w:val="clear" w:color="auto" w:fill="auto"/>
          </w:tcPr>
          <w:p w:rsidR="00FC39E3" w:rsidRPr="00FC39E3" w:rsidRDefault="00FC39E3" w:rsidP="00580DB0">
            <w:pPr>
              <w:pStyle w:val="Heading5"/>
              <w:jc w:val="right"/>
              <w:rPr>
                <w:rFonts w:ascii="Garamond" w:eastAsia="Calibri" w:hAnsi="Garamond"/>
                <w:b/>
                <w:color w:val="auto"/>
                <w:sz w:val="20"/>
              </w:rPr>
            </w:pPr>
            <w:r w:rsidRPr="00FC39E3">
              <w:rPr>
                <w:rFonts w:ascii="Garamond" w:eastAsia="Calibri" w:hAnsi="Garamond"/>
                <w:b/>
                <w:color w:val="auto"/>
                <w:sz w:val="20"/>
              </w:rPr>
              <w:t>DUI Court Team</w:t>
            </w:r>
          </w:p>
          <w:p w:rsidR="00FC39E3" w:rsidRPr="00FC39E3" w:rsidRDefault="00223154" w:rsidP="00580DB0">
            <w:pPr>
              <w:jc w:val="right"/>
              <w:rPr>
                <w:rFonts w:ascii="Garamond" w:eastAsia="Calibri" w:hAnsi="Garamond"/>
                <w:sz w:val="20"/>
                <w:szCs w:val="20"/>
              </w:rPr>
            </w:pPr>
            <w:r>
              <w:rPr>
                <w:rFonts w:ascii="Garamond" w:eastAsia="Calibri" w:hAnsi="Garamond"/>
                <w:sz w:val="20"/>
                <w:szCs w:val="20"/>
              </w:rPr>
              <w:t>Cynthia Welch</w:t>
            </w:r>
            <w:r w:rsidR="00FC39E3" w:rsidRPr="00FC39E3">
              <w:rPr>
                <w:rFonts w:ascii="Garamond" w:eastAsia="Calibri" w:hAnsi="Garamond"/>
                <w:sz w:val="20"/>
                <w:szCs w:val="20"/>
              </w:rPr>
              <w:t>, Prosecutor</w:t>
            </w:r>
          </w:p>
          <w:p w:rsidR="00FC39E3" w:rsidRPr="00FC39E3" w:rsidRDefault="00FC39E3" w:rsidP="00591023">
            <w:pPr>
              <w:ind w:left="0" w:firstLine="0"/>
              <w:jc w:val="right"/>
              <w:rPr>
                <w:rFonts w:ascii="Garamond" w:eastAsia="Calibri" w:hAnsi="Garamond"/>
                <w:sz w:val="20"/>
                <w:szCs w:val="20"/>
              </w:rPr>
            </w:pPr>
            <w:r w:rsidRPr="00FC39E3">
              <w:rPr>
                <w:rFonts w:ascii="Garamond" w:eastAsia="Calibri" w:hAnsi="Garamond"/>
                <w:sz w:val="20"/>
                <w:szCs w:val="20"/>
              </w:rPr>
              <w:t>Richard Shelton, Defense Attorney</w:t>
            </w:r>
          </w:p>
          <w:p w:rsidR="00FC39E3" w:rsidRPr="00FC39E3" w:rsidRDefault="00DB01D6" w:rsidP="00580DB0">
            <w:pPr>
              <w:jc w:val="right"/>
              <w:rPr>
                <w:rFonts w:ascii="Garamond" w:eastAsia="Calibri" w:hAnsi="Garamond"/>
                <w:sz w:val="20"/>
                <w:szCs w:val="20"/>
              </w:rPr>
            </w:pPr>
            <w:r>
              <w:rPr>
                <w:rFonts w:ascii="Garamond" w:eastAsia="Calibri" w:hAnsi="Garamond"/>
                <w:sz w:val="20"/>
                <w:szCs w:val="20"/>
              </w:rPr>
              <w:t>Kyle White</w:t>
            </w:r>
            <w:bookmarkStart w:id="0" w:name="_GoBack"/>
            <w:bookmarkEnd w:id="0"/>
            <w:r w:rsidR="00FC39E3" w:rsidRPr="00FC39E3">
              <w:rPr>
                <w:rFonts w:ascii="Garamond" w:eastAsia="Calibri" w:hAnsi="Garamond"/>
                <w:sz w:val="20"/>
                <w:szCs w:val="20"/>
              </w:rPr>
              <w:t>, Law Enforcement</w:t>
            </w:r>
          </w:p>
          <w:p w:rsidR="00FC39E3" w:rsidRPr="00FC39E3" w:rsidRDefault="00FC39E3" w:rsidP="00580DB0">
            <w:pPr>
              <w:jc w:val="right"/>
              <w:rPr>
                <w:rFonts w:ascii="Garamond" w:eastAsia="Calibri" w:hAnsi="Garamond"/>
                <w:sz w:val="20"/>
                <w:szCs w:val="20"/>
              </w:rPr>
            </w:pPr>
            <w:r w:rsidRPr="00FC39E3">
              <w:rPr>
                <w:rFonts w:ascii="Garamond" w:eastAsia="Calibri" w:hAnsi="Garamond"/>
                <w:sz w:val="20"/>
                <w:szCs w:val="20"/>
              </w:rPr>
              <w:t>Kayla Porter, Probation Officer</w:t>
            </w:r>
          </w:p>
          <w:p w:rsidR="00FC39E3" w:rsidRPr="00FC39E3" w:rsidRDefault="00FC39E3" w:rsidP="00580DB0">
            <w:pPr>
              <w:jc w:val="right"/>
              <w:rPr>
                <w:rFonts w:ascii="Garamond" w:eastAsia="Calibri" w:hAnsi="Garamond"/>
                <w:sz w:val="20"/>
                <w:szCs w:val="20"/>
              </w:rPr>
            </w:pPr>
            <w:r w:rsidRPr="00FC39E3">
              <w:rPr>
                <w:rFonts w:ascii="Garamond" w:eastAsia="Calibri" w:hAnsi="Garamond"/>
                <w:sz w:val="20"/>
                <w:szCs w:val="20"/>
              </w:rPr>
              <w:t>Laci Rankhorn, Treatment Provider</w:t>
            </w:r>
          </w:p>
          <w:p w:rsidR="00FC39E3" w:rsidRPr="00D465E1" w:rsidRDefault="00FC39E3" w:rsidP="00580DB0">
            <w:pPr>
              <w:rPr>
                <w:rFonts w:ascii="Calibri" w:eastAsia="Calibri" w:hAnsi="Calibri"/>
                <w:sz w:val="22"/>
              </w:rPr>
            </w:pPr>
          </w:p>
        </w:tc>
      </w:tr>
    </w:tbl>
    <w:p w:rsidR="00591023" w:rsidRDefault="00591023" w:rsidP="00591023">
      <w:pPr>
        <w:spacing w:after="1" w:line="259" w:lineRule="auto"/>
        <w:ind w:left="0" w:right="0" w:firstLine="0"/>
        <w:rPr>
          <w:b/>
          <w:u w:val="single" w:color="000000"/>
        </w:rPr>
      </w:pPr>
    </w:p>
    <w:p w:rsidR="00600C17" w:rsidRPr="00600C17" w:rsidRDefault="00600C17" w:rsidP="00A34738">
      <w:pPr>
        <w:pStyle w:val="Heading1"/>
        <w:rPr>
          <w:sz w:val="18"/>
          <w:szCs w:val="18"/>
        </w:rPr>
      </w:pPr>
    </w:p>
    <w:p w:rsidR="00A34738" w:rsidRPr="00E3057E" w:rsidRDefault="00A34738" w:rsidP="00A34738">
      <w:pPr>
        <w:pStyle w:val="Heading1"/>
        <w:rPr>
          <w:sz w:val="32"/>
          <w:szCs w:val="32"/>
        </w:rPr>
      </w:pPr>
      <w:r w:rsidRPr="00E3057E">
        <w:rPr>
          <w:sz w:val="32"/>
          <w:szCs w:val="32"/>
        </w:rPr>
        <w:t>DUI COURT ENTRY PROCEDURE</w:t>
      </w:r>
    </w:p>
    <w:p w:rsidR="00A34738" w:rsidRPr="00A34738" w:rsidRDefault="00A34738" w:rsidP="009E38C6"/>
    <w:p w:rsidR="00A34738" w:rsidRPr="00A34738" w:rsidRDefault="00A34738" w:rsidP="009E38C6">
      <w:pPr>
        <w:pStyle w:val="ListParagraph"/>
        <w:numPr>
          <w:ilvl w:val="0"/>
          <w:numId w:val="3"/>
        </w:numPr>
        <w:spacing w:after="0"/>
        <w:ind w:left="270" w:right="28"/>
        <w:rPr>
          <w:sz w:val="22"/>
        </w:rPr>
      </w:pPr>
      <w:r w:rsidRPr="00A34738">
        <w:rPr>
          <w:sz w:val="22"/>
        </w:rPr>
        <w:t>Defendants who are arrested for DUI in Lowndes County will be given a DUI Arraignment date on their bond sheet from the Lowndes County Sheriff’s Office.</w:t>
      </w:r>
    </w:p>
    <w:p w:rsidR="00A34738" w:rsidRPr="00A34738" w:rsidRDefault="00A34738" w:rsidP="009E38C6">
      <w:pPr>
        <w:pStyle w:val="ListParagraph"/>
        <w:spacing w:after="0"/>
        <w:ind w:left="270" w:right="28" w:firstLine="0"/>
        <w:rPr>
          <w:sz w:val="22"/>
        </w:rPr>
      </w:pPr>
    </w:p>
    <w:p w:rsidR="00A34738" w:rsidRPr="00A34738" w:rsidRDefault="00A34738" w:rsidP="009E38C6">
      <w:pPr>
        <w:pStyle w:val="ListParagraph"/>
        <w:numPr>
          <w:ilvl w:val="0"/>
          <w:numId w:val="3"/>
        </w:numPr>
        <w:spacing w:after="0" w:line="284" w:lineRule="auto"/>
        <w:ind w:left="270"/>
        <w:rPr>
          <w:sz w:val="22"/>
        </w:rPr>
      </w:pPr>
      <w:r w:rsidRPr="00A34738">
        <w:rPr>
          <w:sz w:val="22"/>
        </w:rPr>
        <w:t>At the DUI Arraignment date, the Solicitor-General's Office may refer certain defendants to DUI Court. Referred defendants are identifi</w:t>
      </w:r>
      <w:r w:rsidR="009E38C6">
        <w:rPr>
          <w:sz w:val="22"/>
        </w:rPr>
        <w:t>ed by their criminal history (2</w:t>
      </w:r>
      <w:r w:rsidRPr="00A34738">
        <w:rPr>
          <w:sz w:val="22"/>
          <w:vertAlign w:val="superscript"/>
        </w:rPr>
        <w:t xml:space="preserve">nd </w:t>
      </w:r>
      <w:r w:rsidR="009E38C6">
        <w:rPr>
          <w:sz w:val="22"/>
        </w:rPr>
        <w:t>DUI in ten years or 3</w:t>
      </w:r>
      <w:r w:rsidRPr="00A34738">
        <w:rPr>
          <w:sz w:val="22"/>
          <w:vertAlign w:val="superscript"/>
        </w:rPr>
        <w:t xml:space="preserve">rd </w:t>
      </w:r>
      <w:r w:rsidRPr="00A34738">
        <w:rPr>
          <w:sz w:val="22"/>
        </w:rPr>
        <w:t>or more in lifetime), residency, facts of their case, etc. Referred defendants will receive their sentence recommendation offer from the Solicitor-General's Office that includes DUI Court.</w:t>
      </w:r>
    </w:p>
    <w:p w:rsidR="00A34738" w:rsidRPr="00A34738" w:rsidRDefault="00A34738" w:rsidP="009E38C6">
      <w:pPr>
        <w:spacing w:after="0" w:line="284" w:lineRule="auto"/>
        <w:ind w:left="270" w:firstLine="0"/>
        <w:rPr>
          <w:sz w:val="22"/>
        </w:rPr>
      </w:pPr>
    </w:p>
    <w:p w:rsidR="00A34738" w:rsidRPr="00A34738" w:rsidRDefault="00A34738" w:rsidP="009E38C6">
      <w:pPr>
        <w:pStyle w:val="ListParagraph"/>
        <w:numPr>
          <w:ilvl w:val="0"/>
          <w:numId w:val="3"/>
        </w:numPr>
        <w:spacing w:after="0"/>
        <w:ind w:left="270" w:right="28"/>
        <w:rPr>
          <w:sz w:val="22"/>
        </w:rPr>
      </w:pPr>
      <w:r w:rsidRPr="00A34738">
        <w:rPr>
          <w:sz w:val="22"/>
        </w:rPr>
        <w:t>Defendants who are referred to DUI Court and are interested in the program, will meet with the coordinator to complete their application and review the participant handbook. Defendants will then be given information about the DUI Court assessment and the time frame in which it must be completed. Failure to report to or refusal to complete the DUI Court assessment will be considered a decline of the DUI Court offer.</w:t>
      </w:r>
    </w:p>
    <w:p w:rsidR="00A34738" w:rsidRPr="00A34738" w:rsidRDefault="00A34738" w:rsidP="009E38C6">
      <w:pPr>
        <w:pStyle w:val="ListParagraph"/>
        <w:spacing w:after="0"/>
        <w:ind w:left="270" w:right="28" w:firstLine="0"/>
        <w:rPr>
          <w:sz w:val="22"/>
        </w:rPr>
      </w:pPr>
    </w:p>
    <w:p w:rsidR="00A34738" w:rsidRPr="00A34738" w:rsidRDefault="00A34738" w:rsidP="009E38C6">
      <w:pPr>
        <w:numPr>
          <w:ilvl w:val="0"/>
          <w:numId w:val="3"/>
        </w:numPr>
        <w:spacing w:after="0" w:line="288" w:lineRule="auto"/>
        <w:ind w:left="270" w:right="28"/>
        <w:rPr>
          <w:sz w:val="22"/>
        </w:rPr>
      </w:pPr>
      <w:r w:rsidRPr="00A34738">
        <w:rPr>
          <w:sz w:val="22"/>
        </w:rPr>
        <w:t>Once a defendant has been clinically assessed by the treatment provider, referred defendants will be given a DUI Court session observation date. Failure to report to the DUI Court session observation date will be considered a decline of the DUI Court offer.</w:t>
      </w:r>
    </w:p>
    <w:p w:rsidR="00A34738" w:rsidRPr="00A34738" w:rsidRDefault="00A34738" w:rsidP="009E38C6">
      <w:pPr>
        <w:spacing w:after="0" w:line="288" w:lineRule="auto"/>
        <w:ind w:left="270" w:right="28" w:firstLine="0"/>
        <w:rPr>
          <w:sz w:val="22"/>
        </w:rPr>
      </w:pPr>
    </w:p>
    <w:p w:rsidR="00A34738" w:rsidRPr="00A34738" w:rsidRDefault="00A34738" w:rsidP="009E38C6">
      <w:pPr>
        <w:numPr>
          <w:ilvl w:val="0"/>
          <w:numId w:val="3"/>
        </w:numPr>
        <w:spacing w:after="0" w:line="288" w:lineRule="auto"/>
        <w:ind w:left="270" w:right="28"/>
        <w:rPr>
          <w:sz w:val="22"/>
        </w:rPr>
      </w:pPr>
      <w:r w:rsidRPr="00A34738">
        <w:rPr>
          <w:sz w:val="22"/>
        </w:rPr>
        <w:t>Immediately prior to the DUI Court session, the DUI Court Team will review all the information gathered during the application process (assessment, completed forms, etc.) and determine whether to accept the defendant into the program</w:t>
      </w:r>
    </w:p>
    <w:p w:rsidR="00A34738" w:rsidRPr="00A34738" w:rsidRDefault="00A34738" w:rsidP="009E38C6">
      <w:pPr>
        <w:spacing w:after="0" w:line="288" w:lineRule="auto"/>
        <w:ind w:left="270" w:right="28" w:firstLine="0"/>
        <w:rPr>
          <w:sz w:val="22"/>
        </w:rPr>
      </w:pPr>
    </w:p>
    <w:p w:rsidR="00A34738" w:rsidRPr="00A34738" w:rsidRDefault="00A34738" w:rsidP="009E38C6">
      <w:pPr>
        <w:numPr>
          <w:ilvl w:val="0"/>
          <w:numId w:val="3"/>
        </w:numPr>
        <w:spacing w:after="0" w:line="288" w:lineRule="auto"/>
        <w:ind w:left="270" w:right="28"/>
        <w:rPr>
          <w:sz w:val="22"/>
        </w:rPr>
      </w:pPr>
      <w:r w:rsidRPr="00A34738">
        <w:rPr>
          <w:sz w:val="22"/>
        </w:rPr>
        <w:t>The defendant will be informed of the DUI Court Team's decision during the DUI Court session. If the defendant is not accepted into the program, the case will remain pending and all hearings/trial dates will be rescheduled by the Solicitor</w:t>
      </w:r>
      <w:r>
        <w:rPr>
          <w:sz w:val="22"/>
        </w:rPr>
        <w:t xml:space="preserve"> </w:t>
      </w:r>
      <w:r w:rsidRPr="00A34738">
        <w:rPr>
          <w:sz w:val="22"/>
        </w:rPr>
        <w:t>General's office.</w:t>
      </w:r>
    </w:p>
    <w:p w:rsidR="00A34738" w:rsidRPr="00A34738" w:rsidRDefault="00A34738" w:rsidP="009E38C6">
      <w:pPr>
        <w:spacing w:after="0" w:line="288" w:lineRule="auto"/>
        <w:ind w:left="270" w:right="28" w:firstLine="0"/>
        <w:rPr>
          <w:sz w:val="22"/>
        </w:rPr>
      </w:pPr>
    </w:p>
    <w:p w:rsidR="00A34738" w:rsidRPr="00A34738" w:rsidRDefault="00A34738" w:rsidP="009E38C6">
      <w:pPr>
        <w:numPr>
          <w:ilvl w:val="0"/>
          <w:numId w:val="3"/>
        </w:numPr>
        <w:spacing w:after="0" w:line="288" w:lineRule="auto"/>
        <w:ind w:left="270" w:right="28"/>
        <w:rPr>
          <w:sz w:val="22"/>
        </w:rPr>
      </w:pPr>
      <w:r w:rsidRPr="00A34738">
        <w:rPr>
          <w:sz w:val="22"/>
        </w:rPr>
        <w:t>If the defendant is accepted into the program, the defendant will be given a date and time certain to appear, with his or her attorney, for a plea before Judge Golden.</w:t>
      </w:r>
    </w:p>
    <w:p w:rsidR="00A34738" w:rsidRPr="00A34738" w:rsidRDefault="00A34738" w:rsidP="009E38C6">
      <w:pPr>
        <w:spacing w:after="0" w:line="288" w:lineRule="auto"/>
        <w:ind w:left="270" w:right="28" w:firstLine="0"/>
        <w:rPr>
          <w:sz w:val="22"/>
        </w:rPr>
      </w:pPr>
    </w:p>
    <w:p w:rsidR="00600C17" w:rsidRDefault="00A34738" w:rsidP="00600C17">
      <w:pPr>
        <w:numPr>
          <w:ilvl w:val="0"/>
          <w:numId w:val="3"/>
        </w:numPr>
        <w:spacing w:after="0" w:line="288" w:lineRule="auto"/>
        <w:ind w:left="270" w:right="28"/>
        <w:rPr>
          <w:sz w:val="22"/>
        </w:rPr>
      </w:pPr>
      <w:r w:rsidRPr="00A34738">
        <w:rPr>
          <w:sz w:val="22"/>
        </w:rPr>
        <w:t>After the DUI Court plea is taken, the DUI Court Office will schedule the defendant's orientation and initial appointments.</w:t>
      </w:r>
    </w:p>
    <w:p w:rsidR="00600C17" w:rsidRDefault="00600C17" w:rsidP="00600C17">
      <w:pPr>
        <w:pStyle w:val="ListParagraph"/>
        <w:rPr>
          <w:sz w:val="22"/>
        </w:rPr>
      </w:pPr>
    </w:p>
    <w:p w:rsidR="00D03180" w:rsidRPr="00600C17" w:rsidRDefault="00A34738" w:rsidP="00600C17">
      <w:pPr>
        <w:numPr>
          <w:ilvl w:val="0"/>
          <w:numId w:val="3"/>
        </w:numPr>
        <w:spacing w:after="0" w:line="288" w:lineRule="auto"/>
        <w:ind w:left="270" w:right="28"/>
        <w:rPr>
          <w:sz w:val="22"/>
        </w:rPr>
      </w:pPr>
      <w:r w:rsidRPr="00600C17">
        <w:rPr>
          <w:sz w:val="22"/>
        </w:rPr>
        <w:t>Probation cases: Where a person is on probation in Lowndes State Court and is facing revocation, the same procedure will apply, except that the remaining sentence on the original DUI must have at least 18 months left on it, or the revocation plus the sentences on any new charges must carry a sentence of at least 18 months. If there is agreement that DUI Court is appropriate, all of the above shall apply, and both cases shall be transferred to the DUI Court Judge.</w:t>
      </w:r>
    </w:p>
    <w:sectPr w:rsidR="00D03180" w:rsidRPr="00600C17" w:rsidSect="00A34738">
      <w:footerReference w:type="default" r:id="rId10"/>
      <w:pgSz w:w="12240" w:h="15840"/>
      <w:pgMar w:top="27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834" w:rsidRDefault="00796834" w:rsidP="00796834">
      <w:pPr>
        <w:spacing w:after="0" w:line="240" w:lineRule="auto"/>
      </w:pPr>
      <w:r>
        <w:separator/>
      </w:r>
    </w:p>
  </w:endnote>
  <w:endnote w:type="continuationSeparator" w:id="0">
    <w:p w:rsidR="00796834" w:rsidRDefault="00796834" w:rsidP="0079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834" w:rsidRPr="00A470BD" w:rsidRDefault="00796834">
    <w:pPr>
      <w:pStyle w:val="Footer"/>
      <w:rPr>
        <w:sz w:val="18"/>
        <w:szCs w:val="18"/>
      </w:rPr>
    </w:pPr>
    <w:r w:rsidRPr="00A470BD">
      <w:rPr>
        <w:sz w:val="18"/>
        <w:szCs w:val="18"/>
      </w:rPr>
      <w:ptab w:relativeTo="margin" w:alignment="center" w:leader="none"/>
    </w:r>
    <w:r w:rsidRPr="00A470BD">
      <w:rPr>
        <w:sz w:val="18"/>
        <w:szCs w:val="18"/>
      </w:rPr>
      <w:ptab w:relativeTo="margin" w:alignment="right" w:leader="none"/>
    </w:r>
    <w:r w:rsidRPr="00A470BD">
      <w:rPr>
        <w:sz w:val="18"/>
        <w:szCs w:val="18"/>
      </w:rPr>
      <w:t xml:space="preserve">revised </w:t>
    </w:r>
    <w:r w:rsidR="00A34738">
      <w:rPr>
        <w:sz w:val="18"/>
        <w:szCs w:val="18"/>
      </w:rPr>
      <w:t>8/22/17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834" w:rsidRDefault="00796834" w:rsidP="00796834">
      <w:pPr>
        <w:spacing w:after="0" w:line="240" w:lineRule="auto"/>
      </w:pPr>
      <w:r>
        <w:separator/>
      </w:r>
    </w:p>
  </w:footnote>
  <w:footnote w:type="continuationSeparator" w:id="0">
    <w:p w:rsidR="00796834" w:rsidRDefault="00796834" w:rsidP="00796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E4B16"/>
    <w:multiLevelType w:val="hybridMultilevel"/>
    <w:tmpl w:val="A4362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73128"/>
    <w:multiLevelType w:val="hybridMultilevel"/>
    <w:tmpl w:val="F294B110"/>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57D9E"/>
    <w:multiLevelType w:val="hybridMultilevel"/>
    <w:tmpl w:val="CE32C9CC"/>
    <w:lvl w:ilvl="0" w:tplc="35DE05C0">
      <w:start w:val="4"/>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F06D0C">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6C111C">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BC2924">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10E062">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6E7F06">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08278A">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8AF0B4">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FECF2C">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E3"/>
    <w:rsid w:val="002058F9"/>
    <w:rsid w:val="00223154"/>
    <w:rsid w:val="002B3E49"/>
    <w:rsid w:val="00591023"/>
    <w:rsid w:val="00600C17"/>
    <w:rsid w:val="006F7426"/>
    <w:rsid w:val="00796834"/>
    <w:rsid w:val="0092436D"/>
    <w:rsid w:val="009E38C6"/>
    <w:rsid w:val="00A34738"/>
    <w:rsid w:val="00A470BD"/>
    <w:rsid w:val="00B63F94"/>
    <w:rsid w:val="00D03180"/>
    <w:rsid w:val="00D33E0B"/>
    <w:rsid w:val="00DA23E9"/>
    <w:rsid w:val="00DB01D6"/>
    <w:rsid w:val="00E3057E"/>
    <w:rsid w:val="00FC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3DBE5A"/>
  <w15:chartTrackingRefBased/>
  <w15:docId w15:val="{93E37EC4-62E2-4E07-A423-40D5D7D8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9E3"/>
    <w:pPr>
      <w:spacing w:after="4" w:line="248" w:lineRule="auto"/>
      <w:ind w:left="10" w:right="28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C39E3"/>
    <w:pPr>
      <w:keepNext/>
      <w:keepLines/>
      <w:spacing w:after="0"/>
      <w:ind w:left="442" w:hanging="10"/>
      <w:jc w:val="center"/>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FC39E3"/>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C39E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C39E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9E3"/>
    <w:rPr>
      <w:rFonts w:ascii="Times New Roman" w:eastAsia="Times New Roman" w:hAnsi="Times New Roman" w:cs="Times New Roman"/>
      <w:b/>
      <w:color w:val="000000"/>
      <w:sz w:val="24"/>
    </w:rPr>
  </w:style>
  <w:style w:type="table" w:customStyle="1" w:styleId="TableGrid">
    <w:name w:val="TableGrid"/>
    <w:rsid w:val="00FC39E3"/>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FC39E3"/>
    <w:pPr>
      <w:ind w:left="720"/>
      <w:contextualSpacing/>
    </w:pPr>
  </w:style>
  <w:style w:type="character" w:customStyle="1" w:styleId="Heading3Char">
    <w:name w:val="Heading 3 Char"/>
    <w:basedOn w:val="DefaultParagraphFont"/>
    <w:link w:val="Heading3"/>
    <w:uiPriority w:val="9"/>
    <w:semiHidden/>
    <w:rsid w:val="00FC39E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C39E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FC39E3"/>
    <w:rPr>
      <w:rFonts w:asciiTheme="majorHAnsi" w:eastAsiaTheme="majorEastAsia" w:hAnsiTheme="majorHAnsi" w:cstheme="majorBidi"/>
      <w:color w:val="2E74B5" w:themeColor="accent1" w:themeShade="BF"/>
      <w:sz w:val="24"/>
    </w:rPr>
  </w:style>
  <w:style w:type="paragraph" w:styleId="Header">
    <w:name w:val="header"/>
    <w:basedOn w:val="Normal"/>
    <w:link w:val="HeaderChar"/>
    <w:uiPriority w:val="99"/>
    <w:unhideWhenUsed/>
    <w:rsid w:val="00796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83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9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834"/>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05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8F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5216-6062-414D-9B4B-2F11293C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2468</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Bass</dc:creator>
  <cp:keywords/>
  <dc:description/>
  <cp:lastModifiedBy>Stacey Bass</cp:lastModifiedBy>
  <cp:revision>9</cp:revision>
  <cp:lastPrinted>2017-01-03T20:25:00Z</cp:lastPrinted>
  <dcterms:created xsi:type="dcterms:W3CDTF">2017-08-22T13:50:00Z</dcterms:created>
  <dcterms:modified xsi:type="dcterms:W3CDTF">2019-07-09T15:42:00Z</dcterms:modified>
</cp:coreProperties>
</file>